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ДОПОЛНИТЕЛЬНОЕ СОГЛАШЕНИЕ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 замене предмета залога 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к договору залога от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, именуем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в дальнейшем «Залогодержатель», в лице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, действующ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на основании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, с одной стороны, и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, именуем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в дальнейшем «Залогодатель», в лице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действующ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на основании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, с другой стороны, вместе именуемые «Стороны», заключили настоящее дополнительное соглашение (далее – Соглашение) о нижеследующем: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В связи с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заменить предмет залога на имущество, равное по стоимости, а именно: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Пункт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договора о залоге изложить в следующей редакции: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Во всем остальном условия договора залога остаются неизменными.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Передача предмета залога осуществляется по акту приема-передачи в течение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после подписания настоящего Соглашения.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Настоящее Соглашение вступает в силу с момента его подписания и является неотъемлемой частью договора залога.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Настоящее Соглашение составлено в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экземплярах, имеющих одинаковую юридическую силу, по одному для каждой из Сторон.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Приложение №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. Акт приема-передачи предмета залога.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Адреса и реквизиты сторон: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Залогодержатель: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Залогодатель: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Генеральный директор          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Генеральный директор         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М.П.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99378a304fe4bc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